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A0710" w14:textId="77777777" w:rsidR="00AB51AA" w:rsidRDefault="00AB51AA" w:rsidP="00AB51AA">
      <w:pPr>
        <w:rPr>
          <w:rFonts w:ascii="Palatino Linotype" w:hAnsi="Palatino Linotype"/>
          <w:i/>
          <w:iCs/>
          <w:color w:val="000000"/>
          <w:lang w:val="en-US"/>
        </w:rPr>
      </w:pPr>
      <w:r w:rsidRPr="00AB51AA">
        <w:rPr>
          <w:rStyle w:val="fontstyle01"/>
          <w:rFonts w:ascii="Palatino Linotype" w:hAnsi="Palatino Linotype"/>
          <w:sz w:val="22"/>
          <w:szCs w:val="22"/>
        </w:rPr>
        <w:t>Effect of an alternative rearing method on milk production and lamb weight gain</w:t>
      </w:r>
      <w:r w:rsidRPr="00AB51AA">
        <w:rPr>
          <w:rFonts w:ascii="Palatino Linotype" w:hAnsi="Palatino Linotype"/>
          <w:b/>
          <w:bCs/>
          <w:color w:val="000000"/>
        </w:rPr>
        <w:br/>
      </w:r>
      <w:r w:rsidRPr="00AB51AA">
        <w:rPr>
          <w:rStyle w:val="fontstyle21"/>
          <w:rFonts w:ascii="Palatino Linotype" w:hAnsi="Palatino Linotype"/>
          <w:sz w:val="22"/>
          <w:szCs w:val="22"/>
        </w:rPr>
        <w:t xml:space="preserve">S.A. </w:t>
      </w:r>
      <w:proofErr w:type="spellStart"/>
      <w:r w:rsidRPr="00AB51AA">
        <w:rPr>
          <w:rStyle w:val="fontstyle21"/>
          <w:rFonts w:ascii="Palatino Linotype" w:hAnsi="Palatino Linotype"/>
          <w:sz w:val="22"/>
          <w:szCs w:val="22"/>
        </w:rPr>
        <w:t>Termatzidou</w:t>
      </w:r>
      <w:proofErr w:type="spellEnd"/>
      <w:r w:rsidRPr="00AB51AA">
        <w:rPr>
          <w:rStyle w:val="fontstyle21"/>
          <w:rFonts w:ascii="Palatino Linotype" w:hAnsi="Palatino Linotype"/>
          <w:sz w:val="22"/>
          <w:szCs w:val="22"/>
        </w:rPr>
        <w:t xml:space="preserve">, N. </w:t>
      </w:r>
      <w:proofErr w:type="spellStart"/>
      <w:r w:rsidRPr="00AB51AA">
        <w:rPr>
          <w:rStyle w:val="fontstyle21"/>
          <w:rFonts w:ascii="Palatino Linotype" w:hAnsi="Palatino Linotype"/>
          <w:sz w:val="22"/>
          <w:szCs w:val="22"/>
        </w:rPr>
        <w:t>Siachos</w:t>
      </w:r>
      <w:proofErr w:type="spellEnd"/>
      <w:r w:rsidRPr="00AB51AA">
        <w:rPr>
          <w:rStyle w:val="fontstyle21"/>
          <w:rFonts w:ascii="Palatino Linotype" w:hAnsi="Palatino Linotype"/>
          <w:sz w:val="22"/>
          <w:szCs w:val="22"/>
        </w:rPr>
        <w:t xml:space="preserve">, P. </w:t>
      </w:r>
      <w:proofErr w:type="spellStart"/>
      <w:r w:rsidRPr="00AB51AA">
        <w:rPr>
          <w:rStyle w:val="fontstyle21"/>
          <w:rFonts w:ascii="Palatino Linotype" w:hAnsi="Palatino Linotype"/>
          <w:sz w:val="22"/>
          <w:szCs w:val="22"/>
        </w:rPr>
        <w:t>Kazana</w:t>
      </w:r>
      <w:proofErr w:type="spellEnd"/>
      <w:r w:rsidRPr="00AB51AA">
        <w:rPr>
          <w:rStyle w:val="fontstyle21"/>
          <w:rFonts w:ascii="Palatino Linotype" w:hAnsi="Palatino Linotype"/>
          <w:sz w:val="22"/>
          <w:szCs w:val="22"/>
        </w:rPr>
        <w:t xml:space="preserve">, I. Rose and G. </w:t>
      </w:r>
      <w:proofErr w:type="spellStart"/>
      <w:r w:rsidRPr="00AB51AA">
        <w:rPr>
          <w:rStyle w:val="fontstyle21"/>
          <w:rFonts w:ascii="Palatino Linotype" w:hAnsi="Palatino Linotype"/>
          <w:sz w:val="22"/>
          <w:szCs w:val="22"/>
        </w:rPr>
        <w:t>Arsenos</w:t>
      </w:r>
      <w:proofErr w:type="spellEnd"/>
      <w:r w:rsidRPr="00AB51AA">
        <w:rPr>
          <w:rFonts w:ascii="Palatino Linotype" w:hAnsi="Palatino Linotype"/>
          <w:i/>
          <w:iCs/>
          <w:color w:val="000000"/>
          <w:lang w:val="en-US"/>
        </w:rPr>
        <w:t xml:space="preserve"> </w:t>
      </w:r>
    </w:p>
    <w:p w14:paraId="354FEAB4" w14:textId="2A89B3D0" w:rsidR="00AB51AA" w:rsidRDefault="00AB51AA" w:rsidP="00AB51AA">
      <w:pPr>
        <w:rPr>
          <w:rStyle w:val="fontstyle21"/>
          <w:rFonts w:ascii="Palatino Linotype" w:hAnsi="Palatino Linotype"/>
          <w:sz w:val="22"/>
          <w:szCs w:val="22"/>
        </w:rPr>
      </w:pPr>
      <w:r w:rsidRPr="00AB51AA">
        <w:rPr>
          <w:rStyle w:val="fontstyle21"/>
          <w:rFonts w:ascii="Palatino Linotype" w:hAnsi="Palatino Linotype"/>
          <w:sz w:val="22"/>
          <w:szCs w:val="22"/>
        </w:rPr>
        <w:t xml:space="preserve">Aristotle University of Thessaloniki, Laboratory of Animal Husbandry, </w:t>
      </w:r>
      <w:proofErr w:type="spellStart"/>
      <w:r w:rsidRPr="00AB51AA">
        <w:rPr>
          <w:rStyle w:val="fontstyle21"/>
          <w:rFonts w:ascii="Palatino Linotype" w:hAnsi="Palatino Linotype"/>
          <w:sz w:val="22"/>
          <w:szCs w:val="22"/>
        </w:rPr>
        <w:t>Panepistimioupoli</w:t>
      </w:r>
      <w:proofErr w:type="spellEnd"/>
      <w:r w:rsidRPr="00AB51AA">
        <w:rPr>
          <w:rStyle w:val="fontstyle21"/>
          <w:rFonts w:ascii="Palatino Linotype" w:hAnsi="Palatino Linotype"/>
          <w:sz w:val="22"/>
          <w:szCs w:val="22"/>
        </w:rPr>
        <w:t>, 54124 Thessaloniki, Greec</w:t>
      </w:r>
      <w:bookmarkStart w:id="0" w:name="_GoBack"/>
      <w:bookmarkEnd w:id="0"/>
      <w:r w:rsidRPr="00AB51AA">
        <w:rPr>
          <w:rStyle w:val="fontstyle21"/>
          <w:rFonts w:ascii="Palatino Linotype" w:hAnsi="Palatino Linotype"/>
          <w:sz w:val="22"/>
          <w:szCs w:val="22"/>
        </w:rPr>
        <w:t>e;</w:t>
      </w:r>
    </w:p>
    <w:p w14:paraId="7FC3F9F7" w14:textId="718DEDB5" w:rsidR="00AB51AA" w:rsidRPr="00AB51AA" w:rsidRDefault="00AB51AA" w:rsidP="00AB51AA">
      <w:pPr>
        <w:rPr>
          <w:rStyle w:val="fontstyle21"/>
          <w:rFonts w:ascii="Palatino Linotype" w:hAnsi="Palatino Linotype"/>
          <w:color w:val="192B6D"/>
          <w:sz w:val="22"/>
          <w:szCs w:val="22"/>
          <w:lang w:val="en-US"/>
        </w:rPr>
      </w:pPr>
      <w:r w:rsidRPr="00AB51AA">
        <w:rPr>
          <w:rStyle w:val="fontstyle21"/>
          <w:rFonts w:ascii="Palatino Linotype" w:hAnsi="Palatino Linotype"/>
          <w:sz w:val="22"/>
          <w:szCs w:val="22"/>
          <w:lang w:val="en-US"/>
        </w:rPr>
        <w:t>EAAP 69</w:t>
      </w:r>
      <w:r w:rsidRPr="00AB51AA">
        <w:rPr>
          <w:rStyle w:val="fontstyle21"/>
          <w:rFonts w:ascii="Palatino Linotype" w:hAnsi="Palatino Linotype"/>
          <w:sz w:val="22"/>
          <w:szCs w:val="22"/>
          <w:vertAlign w:val="superscript"/>
          <w:lang w:val="en-US"/>
        </w:rPr>
        <w:t>th</w:t>
      </w:r>
      <w:r w:rsidRPr="00AB51AA">
        <w:rPr>
          <w:rStyle w:val="fontstyle21"/>
          <w:rFonts w:ascii="Palatino Linotype" w:hAnsi="Palatino Linotype"/>
          <w:sz w:val="22"/>
          <w:szCs w:val="22"/>
          <w:lang w:val="en-US"/>
        </w:rPr>
        <w:t xml:space="preserve"> Annual Meeting </w:t>
      </w:r>
      <w:r w:rsidRPr="00AB51AA">
        <w:rPr>
          <w:rFonts w:ascii="Palatino Linotype" w:hAnsi="Palatino Linotype"/>
          <w:i/>
          <w:iCs/>
        </w:rPr>
        <w:t>Book of Abstracts of the 69</w:t>
      </w:r>
      <w:r w:rsidRPr="00AB51AA">
        <w:rPr>
          <w:rFonts w:ascii="Palatino Linotype" w:hAnsi="Palatino Linotype"/>
          <w:i/>
          <w:iCs/>
          <w:vertAlign w:val="superscript"/>
        </w:rPr>
        <w:t>th</w:t>
      </w:r>
      <w:r w:rsidRPr="00AB51AA">
        <w:rPr>
          <w:rFonts w:ascii="Palatino Linotype" w:hAnsi="Palatino Linotype"/>
          <w:i/>
          <w:iCs/>
        </w:rPr>
        <w:t xml:space="preserve"> </w:t>
      </w:r>
      <w:r w:rsidRPr="00AB51AA">
        <w:rPr>
          <w:rFonts w:ascii="Palatino Linotype" w:hAnsi="Palatino Linotype"/>
          <w:i/>
          <w:iCs/>
        </w:rPr>
        <w:t>Annual Meeting of the European</w:t>
      </w:r>
      <w:r w:rsidRPr="00AB51AA">
        <w:rPr>
          <w:rFonts w:ascii="Palatino Linotype" w:hAnsi="Palatino Linotype"/>
          <w:i/>
          <w:iCs/>
        </w:rPr>
        <w:t xml:space="preserve"> </w:t>
      </w:r>
      <w:r w:rsidRPr="00AB51AA">
        <w:rPr>
          <w:rFonts w:ascii="Palatino Linotype" w:hAnsi="Palatino Linotype"/>
          <w:i/>
          <w:iCs/>
        </w:rPr>
        <w:t>Federation of Animal Science</w:t>
      </w:r>
      <w:r w:rsidRPr="00AB51AA">
        <w:rPr>
          <w:rFonts w:ascii="Palatino Linotype" w:hAnsi="Palatino Linotype"/>
        </w:rPr>
        <w:t>,</w:t>
      </w:r>
      <w:r w:rsidRPr="00AB51AA">
        <w:t xml:space="preserve"> </w:t>
      </w:r>
      <w:r w:rsidRPr="00AB51AA">
        <w:rPr>
          <w:rStyle w:val="fontstyle21"/>
          <w:rFonts w:ascii="Palatino Linotype" w:hAnsi="Palatino Linotype"/>
          <w:sz w:val="22"/>
          <w:szCs w:val="22"/>
          <w:lang w:val="en-US"/>
        </w:rPr>
        <w:t>No 24 (2018), Dubrovnik, Croatia, 27-21 August 2018</w:t>
      </w:r>
    </w:p>
    <w:p w14:paraId="0F3CA843" w14:textId="561CF4F5" w:rsidR="00287EE3" w:rsidRPr="00AB51AA" w:rsidRDefault="00AB51AA" w:rsidP="00AB51AA">
      <w:pPr>
        <w:jc w:val="both"/>
        <w:rPr>
          <w:rFonts w:ascii="Palatino Linotype" w:hAnsi="Palatino Linotype"/>
          <w:color w:val="000000"/>
          <w:sz w:val="20"/>
          <w:szCs w:val="20"/>
        </w:rPr>
      </w:pPr>
      <w:r w:rsidRPr="00AB51AA">
        <w:rPr>
          <w:rFonts w:ascii="Palatino Linotype" w:hAnsi="Palatino Linotype"/>
          <w:i/>
          <w:iCs/>
          <w:color w:val="192B6D"/>
          <w:sz w:val="20"/>
          <w:szCs w:val="20"/>
        </w:rPr>
        <w:br/>
      </w:r>
      <w:r w:rsidRPr="00AB51AA">
        <w:rPr>
          <w:rStyle w:val="fontstyle31"/>
          <w:rFonts w:ascii="Palatino Linotype" w:hAnsi="Palatino Linotype"/>
          <w:sz w:val="20"/>
          <w:szCs w:val="20"/>
        </w:rPr>
        <w:t>Removing lambs from their mothers at early stages of lactation for small periods during the day may increase</w:t>
      </w:r>
      <w:r w:rsidRPr="00AB51AA">
        <w:rPr>
          <w:rStyle w:val="fontstyle31"/>
          <w:rFonts w:ascii="Palatino Linotype" w:hAnsi="Palatino Linotype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milk yields, because ewes have time to recover. Therefore, we tested if </w:t>
      </w:r>
      <w:r w:rsidRPr="00AB51AA">
        <w:rPr>
          <w:rStyle w:val="fontstyle31"/>
          <w:rFonts w:ascii="Palatino Linotype" w:hAnsi="Palatino Linotype"/>
          <w:sz w:val="20"/>
          <w:szCs w:val="20"/>
          <w:lang w:val="el-GR"/>
        </w:rPr>
        <w:t>αν</w:t>
      </w:r>
      <w:r w:rsidRPr="00AB51AA">
        <w:rPr>
          <w:rStyle w:val="fontstyle31"/>
          <w:rFonts w:ascii="Palatino Linotype" w:hAnsi="Palatino Linotype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alternative</w:t>
      </w:r>
      <w:r w:rsidRPr="00AB51AA">
        <w:rPr>
          <w:rStyle w:val="fontstyle31"/>
          <w:rFonts w:ascii="Palatino Linotype" w:hAnsi="Palatino Linotype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rearing method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 affects milk</w:t>
      </w:r>
      <w:r w:rsidRPr="00AB51AA">
        <w:rPr>
          <w:rStyle w:val="fontstyle31"/>
          <w:rFonts w:ascii="Palatino Linotype" w:hAnsi="Palatino Linotype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production of ewes and weight gain of lambs. Forty primiparous </w:t>
      </w:r>
      <w:proofErr w:type="spellStart"/>
      <w:r w:rsidRPr="00AB51AA">
        <w:rPr>
          <w:rStyle w:val="fontstyle31"/>
          <w:rFonts w:ascii="Palatino Linotype" w:hAnsi="Palatino Linotype"/>
          <w:sz w:val="20"/>
          <w:szCs w:val="20"/>
        </w:rPr>
        <w:t>Lacaune</w:t>
      </w:r>
      <w:proofErr w:type="spellEnd"/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 ewes were used. For the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first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 2 weeks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after</w:t>
      </w:r>
      <w:r w:rsidRPr="00AB51AA">
        <w:rPr>
          <w:rStyle w:val="fontstyle31"/>
          <w:rFonts w:ascii="Palatino Linotype" w:hAnsi="Palatino Linotype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lambing, they were milked once a day and were kept with their lambs all day. Thereafter, ewes were allocated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into 2 groups (control C and test T; n=20 in each), balanced for lambing date and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prolificacy</w:t>
      </w:r>
      <w:r w:rsidRPr="00AB51AA">
        <w:rPr>
          <w:rStyle w:val="fontstyle31"/>
          <w:rFonts w:ascii="Palatino Linotype" w:hAnsi="Palatino Linotype"/>
          <w:sz w:val="20"/>
          <w:szCs w:val="20"/>
        </w:rPr>
        <w:t>. Housing and feeding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management were the same for both groups and the trial lasted 2 weeks. In group C, lambs were constantly kept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with their mothers. In group T, lambs were separated for 12 h during the night and reunited again after the morning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milking. Lambs had </w:t>
      </w:r>
      <w:r w:rsidRPr="00AB51AA">
        <w:rPr>
          <w:rStyle w:val="fontstyle21"/>
          <w:rFonts w:ascii="Palatino Linotype" w:hAnsi="Palatino Linotype"/>
          <w:sz w:val="20"/>
          <w:szCs w:val="20"/>
        </w:rPr>
        <w:t xml:space="preserve">ad libitum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access to feed and water. Ewes in both groups were milked once a day and milk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yield (MY) was recorded using volumetric milk meters. All lambs were weighed at the start of the trial and weekly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to calculate average daily gain (ADG). Mean daily MY and total MY for ewes and ADGs for lambs were </w:t>
      </w:r>
      <w:proofErr w:type="spellStart"/>
      <w:r w:rsidRPr="00AB51AA">
        <w:rPr>
          <w:rStyle w:val="fontstyle31"/>
          <w:rFonts w:ascii="Palatino Linotype" w:hAnsi="Palatino Linotype"/>
          <w:sz w:val="20"/>
          <w:szCs w:val="20"/>
        </w:rPr>
        <w:t>logtransformed</w:t>
      </w:r>
      <w:proofErr w:type="spellEnd"/>
      <w:r w:rsidRPr="00AB51AA">
        <w:rPr>
          <w:rStyle w:val="fontstyle31"/>
          <w:rFonts w:ascii="Palatino Linotype" w:hAnsi="Palatino Linotype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to achieve normality. Comparisons between C and T groups were done with t-test for equal variances or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Mann-Whitney test for unequal variances. T ewes had higher daily MY(±SD) (0.87±0.35 vs 0.54±0.35 l, P=0.001)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and produced 61% more milk (15.62±6.38 vs 9.71±7.40 l, P=0.001) than C ewes during the trial period. Moreover,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mean(±SD) weight at the start of the trial was 7.36 kg</w:t>
      </w:r>
      <w:r w:rsidRPr="00AB51AA">
        <w:rPr>
          <w:rStyle w:val="fontstyle31"/>
          <w:rFonts w:ascii="Palatino Linotype" w:hAnsi="Palatino Linotype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(±1.4) and 8.02 kg</w:t>
      </w:r>
      <w:r w:rsidRPr="00AB51AA">
        <w:rPr>
          <w:rStyle w:val="fontstyle31"/>
          <w:rFonts w:ascii="Palatino Linotype" w:hAnsi="Palatino Linotype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(±1.4) for C and T lambs, respectively. C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group lambs had higher ADG compared to T (295.7±102.5 vs 214.6±89.0 g, P&lt;0.05) during the </w:t>
      </w:r>
      <w:proofErr w:type="spellStart"/>
      <w:r w:rsidRPr="00AB51AA">
        <w:rPr>
          <w:rStyle w:val="fontstyle31"/>
          <w:rFonts w:ascii="Palatino Linotype" w:hAnsi="Palatino Linotype"/>
          <w:sz w:val="20"/>
          <w:szCs w:val="20"/>
        </w:rPr>
        <w:t>frst</w:t>
      </w:r>
      <w:proofErr w:type="spellEnd"/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 week. ADG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during the second week and in total were not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significantly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 different between lambs of C and T groups, although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C lambs grew faster (by 25.4%). than T lambs. Therefore, alternative lamb rearing produces a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trade-off</w:t>
      </w:r>
      <w:r w:rsidRPr="00AB51AA">
        <w:rPr>
          <w:rStyle w:val="fontstyle31"/>
          <w:rFonts w:ascii="Palatino Linotype" w:hAnsi="Palatino Linotype"/>
          <w:sz w:val="20"/>
          <w:szCs w:val="20"/>
        </w:rPr>
        <w:t xml:space="preserve"> between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ewe milk production and lamb growth as</w:t>
      </w:r>
      <w:r w:rsidRPr="00AB51AA">
        <w:rPr>
          <w:rStyle w:val="fontstyle31"/>
          <w:rFonts w:ascii="Palatino Linotype" w:hAnsi="Palatino Linotype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well as higher feed and labour costs. However, when the main source of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farmer’s income is milk, alternative lamb rearing may be a preferable option to optimize saleable milk production</w:t>
      </w:r>
      <w:r w:rsidRPr="00AB51AA">
        <w:rPr>
          <w:rFonts w:ascii="Palatino Linotype" w:hAnsi="Palatino Linotype"/>
          <w:color w:val="000000"/>
          <w:sz w:val="20"/>
          <w:szCs w:val="20"/>
          <w:lang w:val="en-US"/>
        </w:rPr>
        <w:t xml:space="preserve"> </w:t>
      </w:r>
      <w:r w:rsidRPr="00AB51AA">
        <w:rPr>
          <w:rStyle w:val="fontstyle31"/>
          <w:rFonts w:ascii="Palatino Linotype" w:hAnsi="Palatino Linotype"/>
          <w:sz w:val="20"/>
          <w:szCs w:val="20"/>
        </w:rPr>
        <w:t>instead of producing light lamb carcasses.</w:t>
      </w:r>
    </w:p>
    <w:sectPr w:rsidR="00287EE3" w:rsidRPr="00AB51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1AA"/>
    <w:rsid w:val="00287EE3"/>
    <w:rsid w:val="004E2C41"/>
    <w:rsid w:val="0053347F"/>
    <w:rsid w:val="00803BA7"/>
    <w:rsid w:val="00AB51AA"/>
    <w:rsid w:val="00D8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8B9C"/>
  <w15:chartTrackingRefBased/>
  <w15:docId w15:val="{62513095-D43C-4F94-A6A4-FF0A59A1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AB51AA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DefaultParagraphFont"/>
    <w:rsid w:val="00AB51AA"/>
    <w:rPr>
      <w:rFonts w:ascii="TimesNewRomanPS-ItalicMT" w:hAnsi="TimesNewRomanPS-ItalicMT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DefaultParagraphFont"/>
    <w:rsid w:val="00AB51AA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B5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5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Alexandros Theodoridis</dc:creator>
  <cp:keywords/>
  <dc:description/>
  <cp:lastModifiedBy>Alexandros Theodoridis</cp:lastModifiedBy>
  <cp:revision>1</cp:revision>
  <dcterms:created xsi:type="dcterms:W3CDTF">2019-11-11T07:49:00Z</dcterms:created>
  <dcterms:modified xsi:type="dcterms:W3CDTF">2019-11-11T07:55:00Z</dcterms:modified>
</cp:coreProperties>
</file>